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5"/>
          <w:rFonts w:eastAsia="Times New Roman" w:cs="Arial" w:ascii="Arial" w:hAnsi="Arial"/>
          <w:b w:val="false"/>
          <w:i w:val="false"/>
          <w:iCs/>
          <w:caps w:val="false"/>
          <w:smallCaps w:val="false"/>
          <w:color w:val="CE181E"/>
          <w:spacing w:val="0"/>
          <w:sz w:val="14"/>
          <w:szCs w:val="14"/>
          <w:lang w:val="uk-UA" w:eastAsia="ru-RU"/>
        </w:rPr>
        <w:t>Шановні колеги!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CE181E"/>
          <w:spacing w:val="0"/>
          <w:sz w:val="14"/>
          <w:szCs w:val="14"/>
        </w:rPr>
        <w:t xml:space="preserve">Компанія «Uniqid» запрошує на </w:t>
      </w: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CE181E"/>
          <w:spacing w:val="0"/>
          <w:sz w:val="14"/>
          <w:szCs w:val="14"/>
          <w:lang w:val="uk-UA"/>
        </w:rPr>
        <w:t xml:space="preserve">квартальний </w:t>
      </w: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CE181E"/>
          <w:spacing w:val="0"/>
          <w:sz w:val="14"/>
          <w:szCs w:val="14"/>
        </w:rPr>
        <w:t xml:space="preserve">семінар 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/>
      </w:pPr>
      <w:r>
        <w:rPr>
          <w:rFonts w:eastAsia="Times New Roman" w:cs="Times New Roman" w:ascii="Arial" w:hAnsi="Arial"/>
          <w:b/>
          <w:bCs/>
          <w:sz w:val="14"/>
          <w:szCs w:val="14"/>
          <w:lang w:val="uk-UA" w:eastAsia="uk-UA"/>
        </w:rPr>
        <w:t>«Звітність за три квартали 2018 року. Актуальні питання оподаткування та бухгалтерського обліку»</w:t>
      </w:r>
    </w:p>
    <w:p>
      <w:pPr>
        <w:pStyle w:val="Normal"/>
        <w:rPr>
          <w:rFonts w:ascii="Arial" w:hAnsi="Arial" w:cs="Times New Roman"/>
          <w:sz w:val="14"/>
          <w:szCs w:val="1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</w:r>
    </w:p>
    <w:p>
      <w:pPr>
        <w:pStyle w:val="Style25"/>
        <w:numPr>
          <w:ilvl w:val="0"/>
          <w:numId w:val="1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Звітність за три квартали 2018 року</w:t>
      </w:r>
      <w:r>
        <w:rPr>
          <w:rFonts w:cs="Times New Roman" w:ascii="Arial" w:hAnsi="Arial"/>
          <w:sz w:val="14"/>
          <w:szCs w:val="14"/>
          <w:lang w:val="uk-UA"/>
        </w:rPr>
        <w:t>:</w:t>
      </w:r>
    </w:p>
    <w:p>
      <w:pPr>
        <w:pStyle w:val="Style25"/>
        <w:numPr>
          <w:ilvl w:val="0"/>
          <w:numId w:val="2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sz w:val="14"/>
          <w:szCs w:val="14"/>
          <w:lang w:val="uk-UA"/>
        </w:rPr>
        <w:t xml:space="preserve">важливі зміни щодо  </w:t>
      </w:r>
      <w:r>
        <w:rPr>
          <w:rFonts w:cs="Times New Roman" w:ascii="Arial" w:hAnsi="Arial"/>
          <w:b/>
          <w:sz w:val="14"/>
          <w:szCs w:val="14"/>
          <w:lang w:val="uk-UA"/>
        </w:rPr>
        <w:t>Порядку подання фінансової звітності</w:t>
      </w:r>
      <w:r>
        <w:rPr>
          <w:rFonts w:cs="Times New Roman" w:ascii="Arial" w:hAnsi="Arial"/>
          <w:sz w:val="14"/>
          <w:szCs w:val="14"/>
          <w:lang w:val="uk-UA"/>
        </w:rPr>
        <w:t>;</w:t>
      </w:r>
    </w:p>
    <w:p>
      <w:pPr>
        <w:pStyle w:val="Style2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  <w:t>останні роз’яснення ДФС щодо податку на прибуток;</w:t>
      </w:r>
    </w:p>
    <w:p>
      <w:pPr>
        <w:pStyle w:val="Style25"/>
        <w:numPr>
          <w:ilvl w:val="0"/>
          <w:numId w:val="2"/>
        </w:numPr>
        <w:rPr/>
      </w:pPr>
      <w:r>
        <w:rPr>
          <w:rFonts w:cs="Times New Roman" w:ascii="Arial" w:hAnsi="Arial"/>
          <w:sz w:val="14"/>
          <w:szCs w:val="14"/>
          <w:lang w:val="uk-UA"/>
        </w:rPr>
        <w:t>звіт по пільгах: особливості заповнення</w:t>
      </w:r>
      <w:r>
        <w:rPr>
          <w:rFonts w:cs="Times New Roman" w:ascii="Arial" w:hAnsi="Arial"/>
          <w:sz w:val="14"/>
          <w:szCs w:val="14"/>
          <w:lang w:val="en-US"/>
        </w:rPr>
        <w:t>;</w:t>
      </w:r>
    </w:p>
    <w:p>
      <w:pPr>
        <w:pStyle w:val="Style2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  <w:t>10 важливих аспектів оперативної оренди.</w:t>
      </w:r>
    </w:p>
    <w:p>
      <w:pPr>
        <w:pStyle w:val="Style25"/>
        <w:ind w:left="1080" w:hanging="0"/>
        <w:rPr>
          <w:rFonts w:ascii="Arial" w:hAnsi="Arial" w:cs="Times New Roman"/>
          <w:sz w:val="14"/>
          <w:szCs w:val="1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</w:r>
    </w:p>
    <w:p>
      <w:pPr>
        <w:pStyle w:val="Style25"/>
        <w:numPr>
          <w:ilvl w:val="0"/>
          <w:numId w:val="1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Податок на виведений капітал: за і проти нового законопроекту. Вплив на спрощену систему оподаткування.</w:t>
      </w:r>
    </w:p>
    <w:p>
      <w:pPr>
        <w:pStyle w:val="Style25"/>
        <w:rPr>
          <w:rFonts w:ascii="Arial" w:hAnsi="Arial" w:cs="Times New Roman"/>
          <w:b/>
          <w:b/>
          <w:sz w:val="14"/>
          <w:szCs w:val="14"/>
          <w:lang w:val="uk-UA"/>
        </w:rPr>
      </w:pPr>
      <w:r>
        <w:rPr>
          <w:rFonts w:cs="Times New Roman" w:ascii="Arial" w:hAnsi="Arial"/>
          <w:b/>
          <w:sz w:val="14"/>
          <w:szCs w:val="14"/>
          <w:lang w:val="uk-UA"/>
        </w:rPr>
      </w:r>
    </w:p>
    <w:p>
      <w:pPr>
        <w:pStyle w:val="Style25"/>
        <w:numPr>
          <w:ilvl w:val="0"/>
          <w:numId w:val="1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ПДВ-звітність</w:t>
      </w:r>
      <w:r>
        <w:rPr>
          <w:rFonts w:cs="Times New Roman" w:ascii="Arial" w:hAnsi="Arial"/>
          <w:sz w:val="14"/>
          <w:szCs w:val="14"/>
          <w:lang w:val="uk-UA"/>
        </w:rPr>
        <w:t>:</w:t>
      </w:r>
    </w:p>
    <w:p>
      <w:pPr>
        <w:pStyle w:val="Style25"/>
        <w:numPr>
          <w:ilvl w:val="0"/>
          <w:numId w:val="2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нові узагальнюючі податкові консультації від МФУ</w:t>
      </w:r>
      <w:r>
        <w:rPr>
          <w:rFonts w:cs="Times New Roman" w:ascii="Arial" w:hAnsi="Arial"/>
          <w:sz w:val="14"/>
          <w:szCs w:val="14"/>
          <w:lang w:val="uk-UA"/>
        </w:rPr>
        <w:t>;</w:t>
      </w:r>
    </w:p>
    <w:p>
      <w:pPr>
        <w:pStyle w:val="Style25"/>
        <w:numPr>
          <w:ilvl w:val="0"/>
          <w:numId w:val="2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від’ємне значення з ПДВ</w:t>
      </w:r>
      <w:r>
        <w:rPr>
          <w:rFonts w:cs="Times New Roman" w:ascii="Arial" w:hAnsi="Arial"/>
          <w:sz w:val="14"/>
          <w:szCs w:val="14"/>
          <w:lang w:val="uk-UA"/>
        </w:rPr>
        <w:t>. Особливості декларування;</w:t>
      </w:r>
    </w:p>
    <w:p>
      <w:pPr>
        <w:pStyle w:val="Style25"/>
        <w:numPr>
          <w:ilvl w:val="0"/>
          <w:numId w:val="2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списання заборгованостей і ПДВ-коригування</w:t>
      </w:r>
      <w:r>
        <w:rPr>
          <w:rFonts w:cs="Times New Roman" w:ascii="Arial" w:hAnsi="Arial"/>
          <w:sz w:val="14"/>
          <w:szCs w:val="14"/>
          <w:lang w:val="uk-UA"/>
        </w:rPr>
        <w:t>;</w:t>
      </w:r>
    </w:p>
    <w:p>
      <w:pPr>
        <w:pStyle w:val="Style25"/>
        <w:numPr>
          <w:ilvl w:val="0"/>
          <w:numId w:val="2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штрафи</w:t>
      </w:r>
      <w:r>
        <w:rPr>
          <w:rFonts w:cs="Times New Roman" w:ascii="Arial" w:hAnsi="Arial"/>
          <w:sz w:val="14"/>
          <w:szCs w:val="14"/>
          <w:lang w:val="uk-UA"/>
        </w:rPr>
        <w:t xml:space="preserve"> за несвоєчасну реєстрацію податкових накладних, розрахунків коригувань.</w:t>
      </w:r>
    </w:p>
    <w:p>
      <w:pPr>
        <w:pStyle w:val="Style25"/>
        <w:ind w:left="1080" w:hanging="0"/>
        <w:rPr>
          <w:rFonts w:ascii="Arial" w:hAnsi="Arial" w:cs="Times New Roman"/>
          <w:sz w:val="14"/>
          <w:szCs w:val="1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</w:r>
    </w:p>
    <w:p>
      <w:pPr>
        <w:pStyle w:val="Style25"/>
        <w:numPr>
          <w:ilvl w:val="0"/>
          <w:numId w:val="1"/>
        </w:numPr>
        <w:rPr>
          <w:rFonts w:ascii="Arial" w:hAnsi="Arial"/>
          <w:sz w:val="14"/>
          <w:szCs w:val="14"/>
        </w:rPr>
      </w:pPr>
      <w:r>
        <w:rPr>
          <w:rFonts w:eastAsia="Times New Roman" w:cs="Times New Roman" w:ascii="Arial" w:hAnsi="Arial"/>
          <w:b/>
          <w:bCs/>
          <w:sz w:val="14"/>
          <w:szCs w:val="14"/>
          <w:lang w:val="uk-UA" w:eastAsia="uk-UA"/>
        </w:rPr>
        <w:t>Новий</w:t>
      </w:r>
      <w:r>
        <w:rPr>
          <w:rFonts w:eastAsia="Times New Roman" w:cs="Times New Roman" w:ascii="Arial" w:hAnsi="Arial"/>
          <w:b/>
          <w:sz w:val="14"/>
          <w:szCs w:val="14"/>
          <w:lang w:val="uk-UA" w:eastAsia="uk-UA"/>
        </w:rPr>
        <w:t> </w:t>
      </w:r>
      <w:r>
        <w:rPr>
          <w:rFonts w:eastAsia="Times New Roman" w:cs="Times New Roman" w:ascii="Arial" w:hAnsi="Arial"/>
          <w:b/>
          <w:iCs/>
          <w:sz w:val="14"/>
          <w:szCs w:val="14"/>
          <w:lang w:val="uk-UA" w:eastAsia="uk-UA"/>
        </w:rPr>
        <w:t>Порядок фінансування страхувальників</w:t>
      </w:r>
      <w:r>
        <w:rPr>
          <w:rFonts w:eastAsia="Times New Roman" w:cs="Times New Roman" w:ascii="Arial" w:hAnsi="Arial"/>
          <w:iCs/>
          <w:sz w:val="14"/>
          <w:szCs w:val="14"/>
          <w:lang w:val="uk-UA" w:eastAsia="uk-UA"/>
        </w:rPr>
        <w:t xml:space="preserve"> </w:t>
      </w:r>
      <w:r>
        <w:rPr>
          <w:rFonts w:eastAsia="Times New Roman" w:cs="Times New Roman" w:ascii="Arial" w:hAnsi="Arial"/>
          <w:b/>
          <w:iCs/>
          <w:sz w:val="14"/>
          <w:szCs w:val="14"/>
          <w:lang w:val="uk-UA" w:eastAsia="uk-UA"/>
        </w:rPr>
        <w:t>для надання матеріального забезпечення застрахованим особам у зв’язку з тимчасовою втратою працездатності та окремих виплат потерпілим на виробництві за рахунок коштів Фонду соціального страхування України.</w:t>
      </w:r>
    </w:p>
    <w:p>
      <w:pPr>
        <w:pStyle w:val="Style25"/>
        <w:rPr>
          <w:rFonts w:ascii="Arial" w:hAnsi="Arial" w:cs="Times New Roman"/>
          <w:b/>
          <w:b/>
          <w:sz w:val="14"/>
          <w:szCs w:val="14"/>
          <w:lang w:val="uk-UA"/>
        </w:rPr>
      </w:pPr>
      <w:r>
        <w:rPr>
          <w:rFonts w:cs="Times New Roman" w:ascii="Arial" w:hAnsi="Arial"/>
          <w:b/>
          <w:sz w:val="14"/>
          <w:szCs w:val="14"/>
          <w:lang w:val="uk-UA"/>
        </w:rPr>
      </w:r>
    </w:p>
    <w:p>
      <w:pPr>
        <w:pStyle w:val="Style25"/>
        <w:numPr>
          <w:ilvl w:val="0"/>
          <w:numId w:val="1"/>
        </w:numPr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Нове про інспекційні відвідування представників Держпраці</w:t>
      </w:r>
      <w:r>
        <w:rPr>
          <w:rFonts w:cs="Times New Roman" w:ascii="Arial" w:hAnsi="Arial"/>
          <w:sz w:val="14"/>
          <w:szCs w:val="14"/>
          <w:lang w:val="uk-UA"/>
        </w:rPr>
        <w:t xml:space="preserve">: </w:t>
      </w:r>
    </w:p>
    <w:p>
      <w:pPr>
        <w:pStyle w:val="Style25"/>
        <w:numPr>
          <w:ilvl w:val="0"/>
          <w:numId w:val="2"/>
        </w:numPr>
        <w:spacing w:lineRule="auto" w:line="252" w:before="0" w:after="160"/>
        <w:contextualSpacing/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sz w:val="14"/>
          <w:szCs w:val="14"/>
          <w:lang w:val="uk-UA"/>
        </w:rPr>
        <w:t>до кого приходять на інспектування.</w:t>
      </w:r>
    </w:p>
    <w:p>
      <w:pPr>
        <w:pStyle w:val="Style25"/>
        <w:numPr>
          <w:ilvl w:val="0"/>
          <w:numId w:val="2"/>
        </w:numPr>
        <w:spacing w:lineRule="auto" w:line="252" w:before="0" w:after="16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  <w:t>штрафні санкції:</w:t>
      </w:r>
    </w:p>
    <w:p>
      <w:pPr>
        <w:pStyle w:val="Style25"/>
        <w:numPr>
          <w:ilvl w:val="0"/>
          <w:numId w:val="2"/>
        </w:numPr>
        <w:spacing w:lineRule="auto" w:line="252" w:before="0" w:after="16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Arial" w:hAnsi="Arial"/>
          <w:sz w:val="14"/>
          <w:szCs w:val="14"/>
          <w:lang w:val="uk-UA"/>
        </w:rPr>
        <w:t>ризики при укладанні цивільно-правових договорів.</w:t>
      </w:r>
    </w:p>
    <w:p>
      <w:pPr>
        <w:pStyle w:val="Style25"/>
        <w:ind w:left="1080" w:hanging="0"/>
        <w:rPr>
          <w:rFonts w:ascii="Arial" w:hAnsi="Arial" w:cs="Times New Roman"/>
          <w:b/>
          <w:b/>
          <w:sz w:val="14"/>
          <w:szCs w:val="14"/>
          <w:u w:val="single"/>
          <w:lang w:val="uk-UA"/>
        </w:rPr>
      </w:pPr>
      <w:r>
        <w:rPr>
          <w:rFonts w:cs="Times New Roman" w:ascii="Arial" w:hAnsi="Arial"/>
          <w:b/>
          <w:sz w:val="14"/>
          <w:szCs w:val="14"/>
          <w:u w:val="single"/>
          <w:lang w:val="uk-UA"/>
        </w:rPr>
      </w:r>
    </w:p>
    <w:p>
      <w:pPr>
        <w:pStyle w:val="Style25"/>
        <w:numPr>
          <w:ilvl w:val="0"/>
          <w:numId w:val="1"/>
        </w:numPr>
        <w:jc w:val="both"/>
        <w:rPr>
          <w:rFonts w:ascii="Arial" w:hAnsi="Arial"/>
          <w:sz w:val="14"/>
          <w:szCs w:val="14"/>
        </w:rPr>
      </w:pPr>
      <w:r>
        <w:rPr>
          <w:rFonts w:cs="Times New Roman" w:ascii="Arial" w:hAnsi="Arial"/>
          <w:b/>
          <w:sz w:val="14"/>
          <w:szCs w:val="14"/>
          <w:lang w:val="uk-UA"/>
        </w:rPr>
        <w:t>Огляд судової практики</w:t>
      </w:r>
      <w:r>
        <w:rPr>
          <w:rFonts w:cs="Times New Roman" w:ascii="Arial" w:hAnsi="Arial"/>
          <w:sz w:val="14"/>
          <w:szCs w:val="14"/>
          <w:lang w:val="uk-UA"/>
        </w:rPr>
        <w:t>: про відповідальність постачальнику за нереєстрацію податкової накладної, про сплату податку, про ПДФО з підзвітної особи за придбані товари та інші.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 xml:space="preserve">Доповідачі: 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Блотнер Володимир Григорович - партнер АФ «Контракти-аудит», аудитор, член САУ, фахівець з питань контролю і ревізій господарських суб'єктів, голова Клубу бухгалтерів м. Києва.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Тимофєєва Людмила Ярославівна</w:t>
      </w: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 - головний фахівець АФ «Контракти-аудит», аудитор, податковий консультант, фахівець з питань оподаткування прибутку і ПДВ.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>
          <w:rStyle w:val="Style15"/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4"/>
          <w:szCs w:val="14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Дата проведення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en-US" w:eastAsia="ru-RU"/>
        </w:rPr>
        <w:t>28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ru-RU" w:eastAsia="ru-RU"/>
        </w:rPr>
        <w:t>вересня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 2018 року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Місце проведення м.Львів,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2B2B30"/>
          <w:spacing w:val="0"/>
          <w:sz w:val="14"/>
          <w:szCs w:val="14"/>
          <w:lang w:val="uk-UA" w:eastAsia="ru-RU"/>
        </w:rPr>
        <w:t>готель “Львів”, пр.Чорновола 7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 w:eastAsia="Times New Roman" w:cs="Arial"/>
          <w:b/>
          <w:b/>
          <w:bCs/>
          <w:i w:val="false"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ru-RU" w:eastAsia="ru-RU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Реєстрація з 09.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en-US" w:eastAsia="ru-RU"/>
        </w:rPr>
        <w:t>45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 до 10.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en-US" w:eastAsia="ru-RU"/>
        </w:rPr>
        <w:t>30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Час проведення з 10.00 до 16.00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eastAsia="Times New Roman" w:cs="Arial"/>
          <w:b/>
          <w:b/>
          <w:bCs/>
          <w:i w:val="false"/>
          <w:i w:val="false"/>
          <w:iCs/>
          <w:caps w:val="false"/>
          <w:smallCaps w:val="false"/>
          <w:color w:val="455266"/>
          <w:spacing w:val="0"/>
          <w:lang w:val="uk-UA" w:eastAsia="ru-RU"/>
        </w:rPr>
      </w:pPr>
      <w:r>
        <w:rPr>
          <w:rFonts w:eastAsia="Times New Roman" w:cs="Arial"/>
          <w:b/>
          <w:bCs/>
          <w:i w:val="false"/>
          <w:iCs/>
          <w:caps w:val="false"/>
          <w:smallCaps w:val="false"/>
          <w:color w:val="455266"/>
          <w:spacing w:val="0"/>
          <w:lang w:val="uk-UA" w:eastAsia="ru-RU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Style w:val="Style15"/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Вартість участі в семінарі:</w:t>
      </w:r>
    </w:p>
    <w:p>
      <w:pPr>
        <w:pStyle w:val="Style19"/>
        <w:widowControl/>
        <w:spacing w:before="0" w:after="0"/>
        <w:ind w:left="0" w:right="0" w:hanging="0"/>
        <w:rPr>
          <w:rFonts w:ascii="Arial" w:hAnsi="Arial"/>
          <w:sz w:val="14"/>
          <w:szCs w:val="1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</w:rPr>
        <w:t xml:space="preserve">Повна вартість - </w:t>
      </w: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  <w:lang w:val="en-US"/>
        </w:rPr>
        <w:t>4</w:t>
      </w: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</w:rPr>
        <w:t>90 грн без ПДВ.</w:t>
      </w:r>
    </w:p>
    <w:p>
      <w:pPr>
        <w:pStyle w:val="Style19"/>
        <w:widowControl/>
        <w:spacing w:before="0" w:after="0"/>
        <w:ind w:left="0" w:right="0" w:hanging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При оплаті за 2-х учасників від однієї організації - знижка 10%, за 3-х (і більше) — 15%.</w:t>
      </w:r>
    </w:p>
    <w:p>
      <w:pPr>
        <w:pStyle w:val="Style19"/>
        <w:widowControl/>
        <w:spacing w:before="0" w:after="0"/>
        <w:ind w:left="0" w:right="0" w:hanging="0"/>
        <w:jc w:val="both"/>
        <w:rPr>
          <w:rFonts w:ascii="Arial" w:hAnsi="Arial"/>
          <w:sz w:val="14"/>
          <w:szCs w:val="14"/>
          <w:lang w:val="ru-RU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  <w:lang w:val="ru-RU"/>
        </w:rPr>
        <w:t xml:space="preserve">20% знижки для </w:t>
      </w: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  <w:lang w:val="uk-UA"/>
        </w:rPr>
        <w:t>іногороднії учасників</w:t>
      </w: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  <w:lang w:val="ru-RU"/>
        </w:rPr>
        <w:t>.</w:t>
      </w:r>
    </w:p>
    <w:p>
      <w:pPr>
        <w:pStyle w:val="Style19"/>
        <w:widowControl/>
        <w:spacing w:before="0" w:after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Організатор семінару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Компанія "Uniqid"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(095) 108-17-28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(068) 773-23-32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info@uniqid.com.ua</w:t>
      </w:r>
    </w:p>
    <w:p>
      <w:pPr>
        <w:pStyle w:val="4"/>
        <w:widowControl/>
        <w:spacing w:lineRule="auto" w:line="30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0" distL="0" distR="0">
          <wp:extent cx="7587615" cy="1047750"/>
          <wp:effectExtent l="0" t="0" r="0" b="0"/>
          <wp:docPr id="2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mc:AlternateContent>
        <mc:Choice Requires="wps">
          <w:drawing>
            <wp:inline distT="0" distB="0" distL="0" distR="0">
              <wp:extent cx="6129020" cy="1055370"/>
              <wp:effectExtent l="0" t="0" r="0" b="0"/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28280" cy="105480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rect id="shape_0" ID="Picture 3" stroked="f" style="position:absolute;margin-left:0pt;margin-top:0pt;width:482.5pt;height:83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9769c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0"/>
    <w:uiPriority w:val="9"/>
    <w:qFormat/>
    <w:rsid w:val="009769c4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769c4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769c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769c4"/>
    <w:rPr>
      <w:b/>
      <w:bCs/>
    </w:rPr>
  </w:style>
  <w:style w:type="character" w:styleId="ListLabel1">
    <w:name w:val="ListLabel 1"/>
    <w:qFormat/>
    <w:rPr>
      <w:rFonts w:ascii="Arial" w:hAnsi="Arial"/>
      <w:sz w:val="15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15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15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15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15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15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15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15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15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15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15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15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15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15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15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15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/>
      <w:sz w:val="15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rFonts w:ascii="Arial" w:hAnsi="Arial"/>
      <w:sz w:val="15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rFonts w:ascii="Arial" w:hAnsi="Arial"/>
      <w:sz w:val="15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rFonts w:ascii="Arial" w:hAnsi="Arial"/>
      <w:sz w:val="19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Style15">
    <w:name w:val="Виділення жирним"/>
    <w:qFormat/>
    <w:rPr>
      <w:b/>
      <w:bCs/>
    </w:rPr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character" w:styleId="Style17">
    <w:name w:val="Виділення"/>
    <w:qFormat/>
    <w:rPr>
      <w:i/>
      <w:iCs/>
    </w:rPr>
  </w:style>
  <w:style w:type="character" w:styleId="ListLabel181">
    <w:name w:val="ListLabel 181"/>
    <w:qFormat/>
    <w:rPr>
      <w:rFonts w:ascii="Arial;Helvetica;sans-serif" w:hAnsi="Arial;Helvetica;sans-serif" w:cs="OpenSymbol"/>
      <w:b w:val="false"/>
      <w:sz w:val="14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Arial;Helvetica;sans-serif" w:hAnsi="Arial;Helvetica;sans-serif" w:cs="OpenSymbol"/>
      <w:b w:val="false"/>
      <w:sz w:val="14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Arial;Helvetica;sans-serif" w:hAnsi="Arial;Helvetica;sans-serif" w:cs="OpenSymbol"/>
      <w:b w:val="false"/>
      <w:sz w:val="14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Arial;Helvetica;sans-serif" w:hAnsi="Arial;Helvetica;sans-serif" w:cs="OpenSymbol"/>
      <w:b w:val="false"/>
      <w:sz w:val="14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Arial" w:hAnsi="Arial" w:cs="OpenSymbol"/>
      <w:b w:val="false"/>
      <w:sz w:val="16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ascii="Arial" w:hAnsi="Arial" w:cs="OpenSymbol"/>
      <w:b w:val="false"/>
      <w:sz w:val="16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Arial" w:hAnsi="Arial" w:cs="OpenSymbol"/>
      <w:b w:val="false"/>
      <w:sz w:val="16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ascii="Arial" w:hAnsi="Arial" w:cs="OpenSymbol"/>
      <w:b w:val="false"/>
      <w:sz w:val="16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ascii="Arial" w:hAnsi="Arial" w:cs="OpenSymbol"/>
      <w:b w:val="false"/>
      <w:sz w:val="16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ascii="Arial" w:hAnsi="Arial" w:cs="OpenSymbol"/>
      <w:b w:val="false"/>
      <w:sz w:val="16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ascii="Arial" w:hAnsi="Arial" w:cs="OpenSymbol"/>
      <w:b w:val="false"/>
      <w:sz w:val="16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ascii="Arial" w:hAnsi="Arial" w:cs="OpenSymbol"/>
      <w:b w:val="false"/>
      <w:sz w:val="16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ascii="Arial" w:hAnsi="Arial" w:cs="OpenSymbol"/>
      <w:b w:val="false"/>
      <w:sz w:val="16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ascii="Arial" w:hAnsi="Arial" w:cs="OpenSymbol"/>
      <w:b w:val="false"/>
      <w:sz w:val="16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ascii="Arial" w:hAnsi="Arial" w:cs="OpenSymbol"/>
      <w:b w:val="false"/>
      <w:sz w:val="16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ascii="Arial" w:hAnsi="Arial" w:cs="OpenSymbol"/>
      <w:b w:val="false"/>
      <w:sz w:val="16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ascii="Arial" w:hAnsi="Arial" w:cs="OpenSymbol"/>
      <w:b w:val="false"/>
      <w:sz w:val="16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ascii="Arial" w:hAnsi="Arial" w:cs="OpenSymbol"/>
      <w:b w:val="false"/>
      <w:sz w:val="16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ascii="Arial" w:hAnsi="Arial" w:cs="OpenSymbol"/>
      <w:b w:val="false"/>
      <w:sz w:val="16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ascii="Arial" w:hAnsi="Arial" w:cs="OpenSymbol"/>
      <w:b w:val="false"/>
      <w:sz w:val="16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ascii="Arial" w:hAnsi="Arial" w:cs="OpenSymbol"/>
      <w:b w:val="false"/>
      <w:sz w:val="16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ascii="Arial" w:hAnsi="Arial" w:cs="OpenSymbol"/>
      <w:b w:val="false"/>
      <w:sz w:val="16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ascii="Arial" w:hAnsi="Arial" w:cs="OpenSymbol"/>
      <w:b w:val="false"/>
      <w:sz w:val="16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ascii="Arial" w:hAnsi="Arial" w:cs="OpenSymbol"/>
      <w:b w:val="false"/>
      <w:sz w:val="16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ascii="Arial" w:hAnsi="Arial" w:cs="OpenSymbol"/>
      <w:b w:val="false"/>
      <w:sz w:val="16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ascii="Arial" w:hAnsi="Arial" w:cs="OpenSymbol"/>
      <w:b w:val="false"/>
      <w:sz w:val="16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cs="OpenSymbol"/>
    </w:rPr>
  </w:style>
  <w:style w:type="character" w:styleId="ListLabel413">
    <w:name w:val="ListLabel 413"/>
    <w:qFormat/>
    <w:rPr>
      <w:rFonts w:cs="OpenSymbol"/>
    </w:rPr>
  </w:style>
  <w:style w:type="character" w:styleId="ListLabel414">
    <w:name w:val="ListLabel 414"/>
    <w:qFormat/>
    <w:rPr>
      <w:rFonts w:cs="OpenSymbol"/>
    </w:rPr>
  </w:style>
  <w:style w:type="character" w:styleId="ListLabel415">
    <w:name w:val="ListLabel 415"/>
    <w:qFormat/>
    <w:rPr>
      <w:rFonts w:ascii="Arial" w:hAnsi="Arial" w:cs="OpenSymbol"/>
      <w:b w:val="false"/>
      <w:sz w:val="16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rFonts w:cs="OpenSymbol"/>
    </w:rPr>
  </w:style>
  <w:style w:type="character" w:styleId="ListLabel420">
    <w:name w:val="ListLabel 420"/>
    <w:qFormat/>
    <w:rPr>
      <w:rFonts w:cs="OpenSymbol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cs="OpenSymbol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rFonts w:ascii="Arial" w:hAnsi="Arial" w:cs="OpenSymbol"/>
      <w:b w:val="false"/>
      <w:sz w:val="16"/>
    </w:rPr>
  </w:style>
  <w:style w:type="character" w:styleId="ListLabel425">
    <w:name w:val="ListLabel 425"/>
    <w:qFormat/>
    <w:rPr>
      <w:rFonts w:cs="OpenSymbol"/>
    </w:rPr>
  </w:style>
  <w:style w:type="character" w:styleId="ListLabel426">
    <w:name w:val="ListLabel 426"/>
    <w:qFormat/>
    <w:rPr>
      <w:rFonts w:cs="OpenSymbol"/>
    </w:rPr>
  </w:style>
  <w:style w:type="character" w:styleId="ListLabel427">
    <w:name w:val="ListLabel 427"/>
    <w:qFormat/>
    <w:rPr>
      <w:rFonts w:cs="OpenSymbol"/>
    </w:rPr>
  </w:style>
  <w:style w:type="character" w:styleId="ListLabel428">
    <w:name w:val="ListLabel 428"/>
    <w:qFormat/>
    <w:rPr>
      <w:rFonts w:cs="OpenSymbol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cs="OpenSymbol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ascii="Arial" w:hAnsi="Arial" w:cs="OpenSymbol"/>
      <w:b w:val="false"/>
      <w:sz w:val="16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ascii="Arial" w:hAnsi="Arial" w:cs="OpenSymbol"/>
      <w:b w:val="false"/>
      <w:sz w:val="16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Arial" w:hAnsi="Arial" w:cs="OpenSymbol"/>
      <w:b w:val="false"/>
      <w:sz w:val="16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ascii="Arial" w:hAnsi="Arial" w:cs="OpenSymbol"/>
      <w:b w:val="false"/>
      <w:sz w:val="16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ascii="Arial" w:hAnsi="Arial" w:cs="OpenSymbol"/>
      <w:b w:val="false"/>
      <w:sz w:val="16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ascii="Arial" w:hAnsi="Arial" w:cs="OpenSymbol"/>
      <w:b w:val="false"/>
      <w:sz w:val="16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ascii="Arial" w:hAnsi="Arial" w:cs="Calibri"/>
      <w:sz w:val="14"/>
    </w:rPr>
  </w:style>
  <w:style w:type="character" w:styleId="ListLabel488">
    <w:name w:val="ListLabel 488"/>
    <w:qFormat/>
    <w:rPr>
      <w:rFonts w:ascii="Arial" w:hAnsi="Arial" w:cs="Calibri"/>
      <w:sz w:val="14"/>
    </w:rPr>
  </w:style>
  <w:style w:type="character" w:styleId="WW8Num2z0">
    <w:name w:val="WW8Num2z0"/>
    <w:qFormat/>
    <w:rPr>
      <w:rFonts w:ascii="Calibri" w:hAnsi="Calibri" w:eastAsia="Calibri" w:cs="Calibri"/>
      <w:sz w:val="24"/>
      <w:szCs w:val="24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ListLabel489">
    <w:name w:val="ListLabel 489"/>
    <w:qFormat/>
    <w:rPr>
      <w:rFonts w:ascii="Times New Roman" w:hAnsi="Times New Roman" w:cs="Calibri"/>
      <w:sz w:val="24"/>
    </w:rPr>
  </w:style>
  <w:style w:type="character" w:styleId="ListLabel490">
    <w:name w:val="ListLabel 490"/>
    <w:qFormat/>
    <w:rPr>
      <w:rFonts w:ascii="Times New Roman" w:hAnsi="Times New Roman" w:cs="Calibri"/>
      <w:sz w:val="24"/>
    </w:rPr>
  </w:style>
  <w:style w:type="character" w:styleId="ListLabel491">
    <w:name w:val="ListLabel 491"/>
    <w:qFormat/>
    <w:rPr>
      <w:rFonts w:ascii="Times New Roman" w:hAnsi="Times New Roman" w:cs="Calibri"/>
      <w:sz w:val="24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4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769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Quotations">
    <w:name w:val="Quotations"/>
    <w:basedOn w:val="Normal"/>
    <w:qFormat/>
    <w:pPr/>
    <w:rPr/>
  </w:style>
  <w:style w:type="paragraph" w:styleId="Style25">
    <w:name w:val="Абзац списку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numbering" w:styleId="WW8Num11">
    <w:name w:val="WW8Num1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LibreOffice/5.4.0.3$Windows_X86_64 LibreOffice_project/7556cbc6811c9d992f4064ab9287069087d7f62c</Application>
  <Pages>1</Pages>
  <Words>283</Words>
  <Characters>1849</Characters>
  <CharactersWithSpaces>2084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2018-01-14T10:33:00Z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2018-09-17T12:31:58Z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