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5"/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Шановні колеги! Компанія «Uniqid» запрошує Вас взяти участь в семінарі - практикумі лектора Ірини Губіной в м.Львів на тему "Зовнішньоекономічна діяльність. Податково-бухгалтерські акценти. Новації Закону про валюту" </w:t>
      </w:r>
    </w:p>
    <w:p>
      <w:pPr>
        <w:pStyle w:val="3"/>
        <w:widowControl/>
        <w:spacing w:lineRule="auto" w:line="288" w:before="0" w:after="0"/>
        <w:ind w:left="0" w:right="0" w:hanging="0"/>
        <w:jc w:val="center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455266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</w:r>
    </w:p>
    <w:p>
      <w:pPr>
        <w:pStyle w:val="4"/>
        <w:widowControl/>
        <w:spacing w:lineRule="auto" w:line="300" w:before="0" w:after="0"/>
        <w:ind w:left="0" w:right="0" w:hanging="0"/>
        <w:jc w:val="center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  <w:t>Програма семінару:</w:t>
      </w:r>
    </w:p>
    <w:p>
      <w:pPr>
        <w:pStyle w:val="4"/>
        <w:widowControl/>
        <w:spacing w:before="0" w:after="0"/>
        <w:ind w:left="0" w:right="0" w:hanging="0"/>
        <w:jc w:val="both"/>
        <w:rPr>
          <w:rFonts w:eastAsia="Times New Roman" w:cs="Arial"/>
          <w:b w:val="false"/>
          <w:b w:val="false"/>
          <w:bCs/>
          <w:i w:val="false"/>
          <w:i w:val="false"/>
          <w:iCs/>
          <w:caps w:val="false"/>
          <w:smallCaps w:val="false"/>
          <w:color w:val="455266"/>
          <w:spacing w:val="0"/>
          <w:lang w:val="uk-UA" w:eastAsia="ru-RU"/>
        </w:rPr>
      </w:pPr>
      <w:r>
        <w:rPr>
          <w:rStyle w:val="Style15"/>
          <w:rFonts w:eastAsia="Times New Roman" w:cs="Arial" w:ascii="Arial" w:hAnsi="Arial"/>
          <w:b w:val="false"/>
          <w:i w:val="false"/>
          <w:iCs/>
          <w:caps w:val="false"/>
          <w:smallCaps w:val="false"/>
          <w:color w:val="616161"/>
          <w:spacing w:val="0"/>
          <w:sz w:val="16"/>
          <w:szCs w:val="16"/>
          <w:lang w:val="uk-UA" w:eastAsia="ru-RU"/>
        </w:rPr>
        <w:t>Аналіз положень нового Закону «Про валюту та валютні операції»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Головні новації Закону, дата набуття чинності, перехідні положення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В чому відмінність норм Закону від норм Декрету та іншого старого «валютного» законодавства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Як введення в дію Закону впливатиме на правила податкового та бухгалтерського обліку, на що варто звернути увагу бухгалтерові.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Документальні особливості ВЭД: слідами новацій 2017-2018 років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Нюанси документування при експорті послуг (види договору, документи, терміни розрахунків); 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Документальні нововведення "для усіх" – зміни у статусі та порядку оформленні первинних документів; 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Деякі акценти оформлення первинних документів з нерезидентами, вимоги до форми і перекладу документів. 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Операції з валютою, як чинник, що визначають податковий статус підприємства: </w:t>
      </w:r>
    </w:p>
    <w:p>
      <w:pPr>
        <w:pStyle w:val="Style19"/>
        <w:widowControl/>
        <w:numPr>
          <w:ilvl w:val="0"/>
          <w:numId w:val="3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Як валютні операції можуть вплинути на показник "20 млн" для податкових різниць і 150-млн. критерій для ТЦУ;</w:t>
      </w:r>
    </w:p>
    <w:p>
      <w:pPr>
        <w:pStyle w:val="Style19"/>
        <w:widowControl/>
        <w:numPr>
          <w:ilvl w:val="0"/>
          <w:numId w:val="3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Які можна застосувати оптимізаційні облікові схеми, щоб вплинути на цей показник; </w:t>
      </w:r>
    </w:p>
    <w:p>
      <w:pPr>
        <w:pStyle w:val="Style19"/>
        <w:widowControl/>
        <w:numPr>
          <w:ilvl w:val="0"/>
          <w:numId w:val="3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Ризики "згортання" валютних показників у формі № 2 для податкових даних. 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Імпортні операції з поставки товарів (ТМЦ) 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Правила визначення бази оподаткування для ПДВ, вибір "податкового" курсу, дата визнання податкових зобов'язань і податкового кредиту по "імпортному" ПДВ;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Митна, контрактна і первісна вартість товарів: «дивись, не переплутай!». Для яких випадків яку вартість слід використовувати. Чи варто намагатися уніфікувати ці показники;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Стикування дат нарахування податкових зобов'язань і кредиту для ПДВ і дати визнання і оприбутковування товарів у бухгалтерському обліку: які помилки приховані у «єдності» ПДВ-шного і бухгалтерського обліку;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Податкові накладні по імпортних товарах: деякі особливості заповнення, ознака "імпортності" товару, код УКТ ЗЕД; 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Формування первісної вартості товарів для подальшої реалізації, нюанси формування бази оподаткування по товарах для продажу;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Різні практичні особливості закриття розрахунків з нерезидентом при наданні кредит-ноти, виявленні бракованих товарів, безкоштовно отриманих зразків, в т.ч. з рекламними цілями; 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Приклади формування первісної вартості товарів за ПБО-21 при постачаннях, що чергуються (оплата – поставка- оплата-поставка і т.д.). 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Експортні операції з поставки товарів (ТМЦ): 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Дата нарахування податкових зобов'язань, порядок підтвердження нульової ставки ПДВ; 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Продаж нижче собівартості: по якій ставці 0% або 20% обкладати перевищення;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Дата формування доходу для бухгалтерського і "прибуткового" обліку. У чому риски " прив'язки" цих дат до правила ПДВ; 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Експортні постачання, що чергуються. Правила формування оподатковуваного доходу, вибір курсу для його визнання. 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Операції з нерезидентами по послугах (отримання / надання):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ПДВ-особливості "експорту" і "імпорту" послуг. Особливості застосування податкового правила "місце постачання"; 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Курс для визнання податкових зобов'язань і податкового кредиту, дати відображення в декларації;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Ризики обкладення ПДВ операцій по послугах з місцем постачання поза митною територією України;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Обов'язковість реєстрації податкових накладних "на себе" при "імпорті" послуг: чи змінилася фіскальна позиція ГФС?...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Обережно! "Бюджетна" курсова різниця!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ГФС знову заговорила про правило перерахування результату від продажу поверненої валюти до бюджету, так звану «бюджетну курсову різницю». Що з цим робити? Як вважати і чи рахувати її взагалі?!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Податкові ЗЕД-різниці, нюанси застосування:</w:t>
      </w:r>
    </w:p>
    <w:p>
      <w:pPr>
        <w:pStyle w:val="Style19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Процентні витрати і правило "тонкої капіталізації", податкові риски валютних кредитів і поворотних фін допомог;</w:t>
      </w:r>
    </w:p>
    <w:p>
      <w:pPr>
        <w:pStyle w:val="Style19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Придбання у "низькоподаткових" нерезидентів, 30% коригування, нюанси проведення у квартальних деклараціях. Позиція ДФС;</w:t>
      </w:r>
    </w:p>
    <w:p>
      <w:pPr>
        <w:pStyle w:val="Style19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Штрафи, пені неустойки в стосунках з нерезидентами і безкоштовні постачання нерезидентам – новій коригування, про які варто пам’ятати</w:t>
      </w:r>
    </w:p>
    <w:p>
      <w:pPr>
        <w:pStyle w:val="Style19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Правила податкового контролю за здійсненням ЗЄД-операцій, утримання податку на репатріацію: головні принципи та правила.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Валютні особливості закордонних відряджень </w:t>
      </w:r>
    </w:p>
    <w:p>
      <w:pPr>
        <w:pStyle w:val="Style19"/>
        <w:widowControl/>
        <w:numPr>
          <w:ilvl w:val="0"/>
          <w:numId w:val="9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Добові 80 євро в день! Величина для розрахунків або для ПДФО-обмеження? Застосовуємо правильно!!! </w:t>
      </w:r>
    </w:p>
    <w:p>
      <w:pPr>
        <w:pStyle w:val="Style19"/>
        <w:widowControl/>
        <w:numPr>
          <w:ilvl w:val="0"/>
          <w:numId w:val="9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Особливості перерахунку валюти в гривни при видачі готівкової валюти або корпоративної картки;</w:t>
      </w:r>
    </w:p>
    <w:p>
      <w:pPr>
        <w:pStyle w:val="Style19"/>
        <w:widowControl/>
        <w:numPr>
          <w:ilvl w:val="0"/>
          <w:numId w:val="9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Розрахунки закордоном гривневими картками (особистими, корпоративними) і нюанси формування сум витрат на відрядження - як відобразити різницю між сумою по авансовому звіту і сумою, списаною з картки;</w:t>
      </w:r>
    </w:p>
    <w:p>
      <w:pPr>
        <w:pStyle w:val="Style19"/>
        <w:widowControl/>
        <w:numPr>
          <w:ilvl w:val="0"/>
          <w:numId w:val="9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Деякі документальні нюанси закордонних відряджень (відмітки в закордонному паспорті й інші первинні документи як основа для виплати добових, як правильно порахувати добові в "змішаних" відрядженнях та ін.).</w:t>
      </w:r>
    </w:p>
    <w:p>
      <w:pPr>
        <w:pStyle w:val="Style19"/>
        <w:widowControl/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eastAsia="Times New Roman" w:cs="Arial"/>
          <w:b w:val="false"/>
          <w:b w:val="false"/>
          <w:bCs/>
          <w:i w:val="false"/>
          <w:i w:val="false"/>
          <w:iCs/>
          <w:caps w:val="false"/>
          <w:smallCaps w:val="false"/>
          <w:color w:val="455266"/>
          <w:spacing w:val="0"/>
          <w:lang w:val="uk-UA" w:eastAsia="ru-RU"/>
        </w:rPr>
      </w:pPr>
      <w:r>
        <w:rPr>
          <w:rStyle w:val="Style15"/>
          <w:rFonts w:eastAsia="Times New Roman" w:cs="Arial" w:ascii="Arial" w:hAnsi="Arial"/>
          <w:b w:val="false"/>
          <w:i w:val="false"/>
          <w:iCs/>
          <w:caps w:val="false"/>
          <w:smallCaps w:val="false"/>
          <w:color w:val="2C2C2C"/>
          <w:spacing w:val="0"/>
          <w:sz w:val="16"/>
          <w:szCs w:val="16"/>
          <w:lang w:val="uk-UA" w:eastAsia="ru-RU"/>
        </w:rPr>
        <w:t>Лектор Ірина Губіна</w:t>
      </w:r>
    </w:p>
    <w:p>
      <w:pPr>
        <w:pStyle w:val="Normal"/>
        <w:widowControl/>
        <w:spacing w:before="0" w:after="0"/>
        <w:ind w:left="0" w:right="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Веде активну лекторську діяльність з 2003 року, має сертифікати CAP, DipIFR. Редактор газети "Бухгалтерія", автор численних публікацій з оподаткування та бухгалтерського обліку "</w:t>
      </w:r>
    </w:p>
    <w:p>
      <w:pPr>
        <w:pStyle w:val="Style19"/>
        <w:widowControl/>
        <w:spacing w:before="0" w:after="0"/>
        <w:ind w:left="0" w:right="0" w:hanging="0"/>
        <w:jc w:val="both"/>
        <w:rPr>
          <w:rStyle w:val="Style15"/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Дата проведення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en-US" w:eastAsia="ru-RU"/>
        </w:rPr>
        <w:t>12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ru-RU" w:eastAsia="ru-RU"/>
        </w:rPr>
        <w:t>вересня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 2018 року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/>
          <w:sz w:val="16"/>
          <w:szCs w:val="16"/>
        </w:rPr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Місце проведення готель “Жорж”, пл.Міцкевича 1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/>
          <w:sz w:val="16"/>
          <w:szCs w:val="16"/>
        </w:rPr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Реєстрація з 09.30 до 10.00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/>
          <w:sz w:val="16"/>
          <w:szCs w:val="16"/>
        </w:rPr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Час проведення з 10.00 до 15.30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Style w:val="Style15"/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Вартість участі в семінарі:</w:t>
      </w:r>
    </w:p>
    <w:p>
      <w:pPr>
        <w:pStyle w:val="Style19"/>
        <w:widowControl/>
        <w:spacing w:before="0" w:after="0"/>
        <w:ind w:left="0" w:right="0" w:hanging="0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6"/>
          <w:szCs w:val="16"/>
        </w:rPr>
        <w:t xml:space="preserve">Повна вартість - </w:t>
      </w:r>
      <w:r>
        <w:rPr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6"/>
          <w:szCs w:val="16"/>
          <w:lang w:val="uk-UA"/>
        </w:rPr>
        <w:t>6</w:t>
      </w:r>
      <w:r>
        <w:rPr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6"/>
          <w:szCs w:val="16"/>
        </w:rPr>
        <w:t>90 грн без ПДВ.</w:t>
      </w:r>
    </w:p>
    <w:p>
      <w:pPr>
        <w:pStyle w:val="Style19"/>
        <w:widowControl/>
        <w:spacing w:before="0" w:after="0"/>
        <w:ind w:left="0" w:right="0" w:hanging="0"/>
        <w:rPr>
          <w:b/>
          <w:b/>
          <w:bCs/>
          <w:i w:val="false"/>
          <w:i w:val="false"/>
          <w:caps w:val="false"/>
          <w:smallCaps w:val="false"/>
          <w:color w:val="2C2C2C"/>
          <w:spacing w:val="0"/>
        </w:rPr>
      </w:pPr>
      <w:r>
        <w:rPr>
          <w:b/>
          <w:bCs/>
          <w:i w:val="false"/>
          <w:caps w:val="false"/>
          <w:smallCaps w:val="false"/>
          <w:color w:val="2C2C2C"/>
          <w:spacing w:val="0"/>
        </w:rPr>
      </w:r>
    </w:p>
    <w:p>
      <w:pPr>
        <w:pStyle w:val="Style19"/>
        <w:widowControl/>
        <w:spacing w:before="0" w:after="0"/>
        <w:ind w:left="0" w:right="0" w:hanging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При оплаті за 2-х учасників від однієї організації - знижка 10%, за 3-х (і більше) - 15%.</w:t>
      </w:r>
    </w:p>
    <w:p>
      <w:pPr>
        <w:pStyle w:val="Style19"/>
        <w:widowControl/>
        <w:spacing w:before="0" w:after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Організатор семінару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Компанія "Uniqid"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(095) 108-17-28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(068) 773-23-32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info@uniqid.com.ua</w:t>
      </w:r>
    </w:p>
    <w:p>
      <w:pPr>
        <w:pStyle w:val="4"/>
        <w:widowControl/>
        <w:spacing w:lineRule="auto" w:line="30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altName w:val="Helvetic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 Sans">
    <w:charset w:val="cc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tabs>
        <w:tab w:val="center" w:pos="4536" w:leader="none"/>
        <w:tab w:val="center" w:pos="4819" w:leader="none"/>
        <w:tab w:val="right" w:pos="9639" w:leader="none"/>
      </w:tabs>
      <w:ind w:left="-1417" w:hanging="0"/>
      <w:rPr>
        <w:rFonts w:ascii="Open Sans" w:hAnsi="Open Sans" w:cs="Open Sans"/>
        <w:color w:val="FFFFFF" w:themeColor="background1"/>
        <w:sz w:val="20"/>
        <w:szCs w:val="20"/>
        <w:lang w:val="en-US" w:eastAsia="uk-UA"/>
      </w:rPr>
    </w:pPr>
    <w:r>
      <w:rPr/>
      <w:drawing>
        <wp:inline distT="0" distB="0" distL="0" distR="0">
          <wp:extent cx="7587615" cy="1047750"/>
          <wp:effectExtent l="0" t="0" r="0" b="0"/>
          <wp:docPr id="2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8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mc:AlternateContent>
        <mc:Choice Requires="wps">
          <w:drawing>
            <wp:inline distT="0" distB="0" distL="0" distR="0">
              <wp:extent cx="6125210" cy="1051560"/>
              <wp:effectExtent l="0" t="0" r="0" b="0"/>
              <wp:docPr id="1" name="Picture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24680" cy="105084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pic:spPr>
                  </pic:pic>
                </a:graphicData>
              </a:graphic>
            </wp:inline>
          </w:drawing>
        </mc:Choice>
        <mc:Fallback>
          <w:pict>
            <v:rect id="shape_0" ID="Picture 3" stroked="f" style="position:absolute;margin-left:0pt;margin-top:0pt;width:482.2pt;height:82.7pt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2b9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link w:val="30"/>
    <w:uiPriority w:val="9"/>
    <w:qFormat/>
    <w:rsid w:val="009769c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link w:val="40"/>
    <w:uiPriority w:val="9"/>
    <w:qFormat/>
    <w:rsid w:val="009769c4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d8220d"/>
    <w:rPr>
      <w:lang w:val="uk-UA"/>
    </w:rPr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d8220d"/>
    <w:rPr>
      <w:lang w:val="uk-UA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db2873"/>
    <w:rPr>
      <w:rFonts w:ascii="Tahoma" w:hAnsi="Tahoma" w:cs="Tahoma"/>
      <w:sz w:val="16"/>
      <w:szCs w:val="1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9769c4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9769c4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769c4"/>
    <w:rPr>
      <w:b/>
      <w:bCs/>
    </w:rPr>
  </w:style>
  <w:style w:type="character" w:styleId="ListLabel1">
    <w:name w:val="ListLabel 1"/>
    <w:qFormat/>
    <w:rPr>
      <w:rFonts w:ascii="Arial" w:hAnsi="Arial"/>
      <w:sz w:val="15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/>
      <w:sz w:val="15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Arial" w:hAnsi="Arial"/>
      <w:sz w:val="15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Arial" w:hAnsi="Arial"/>
      <w:sz w:val="15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Arial" w:hAnsi="Arial"/>
      <w:sz w:val="15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Arial" w:hAnsi="Arial"/>
      <w:sz w:val="15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ascii="Arial" w:hAnsi="Arial"/>
      <w:sz w:val="15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rFonts w:ascii="Arial" w:hAnsi="Arial"/>
      <w:sz w:val="15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rFonts w:ascii="Arial" w:hAnsi="Arial"/>
      <w:sz w:val="15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rFonts w:ascii="Arial" w:hAnsi="Arial"/>
      <w:sz w:val="15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rFonts w:ascii="Arial" w:hAnsi="Arial"/>
      <w:sz w:val="15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rFonts w:ascii="Arial" w:hAnsi="Arial"/>
      <w:sz w:val="15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rFonts w:ascii="Arial" w:hAnsi="Arial"/>
      <w:sz w:val="15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rFonts w:ascii="Arial" w:hAnsi="Arial"/>
      <w:sz w:val="15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rFonts w:ascii="Arial" w:hAnsi="Arial"/>
      <w:sz w:val="15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rFonts w:ascii="Arial" w:hAnsi="Arial"/>
      <w:sz w:val="15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rFonts w:ascii="Arial" w:hAnsi="Arial"/>
      <w:sz w:val="15"/>
    </w:rPr>
  </w:style>
  <w:style w:type="character" w:styleId="ListLabel146">
    <w:name w:val="ListLabel 146"/>
    <w:qFormat/>
    <w:rPr>
      <w:sz w:val="20"/>
    </w:rPr>
  </w:style>
  <w:style w:type="character" w:styleId="ListLabel147">
    <w:name w:val="ListLabel 147"/>
    <w:qFormat/>
    <w:rPr>
      <w:sz w:val="20"/>
    </w:rPr>
  </w:style>
  <w:style w:type="character" w:styleId="ListLabel148">
    <w:name w:val="ListLabel 148"/>
    <w:qFormat/>
    <w:rPr>
      <w:sz w:val="20"/>
    </w:rPr>
  </w:style>
  <w:style w:type="character" w:styleId="ListLabel149">
    <w:name w:val="ListLabel 149"/>
    <w:qFormat/>
    <w:rPr>
      <w:sz w:val="20"/>
    </w:rPr>
  </w:style>
  <w:style w:type="character" w:styleId="ListLabel150">
    <w:name w:val="ListLabel 150"/>
    <w:qFormat/>
    <w:rPr>
      <w:sz w:val="20"/>
    </w:rPr>
  </w:style>
  <w:style w:type="character" w:styleId="ListLabel151">
    <w:name w:val="ListLabel 151"/>
    <w:qFormat/>
    <w:rPr>
      <w:sz w:val="20"/>
    </w:rPr>
  </w:style>
  <w:style w:type="character" w:styleId="ListLabel152">
    <w:name w:val="ListLabel 152"/>
    <w:qFormat/>
    <w:rPr>
      <w:sz w:val="20"/>
    </w:rPr>
  </w:style>
  <w:style w:type="character" w:styleId="ListLabel153">
    <w:name w:val="ListLabel 153"/>
    <w:qFormat/>
    <w:rPr>
      <w:sz w:val="20"/>
    </w:rPr>
  </w:style>
  <w:style w:type="character" w:styleId="ListLabel154">
    <w:name w:val="ListLabel 154"/>
    <w:qFormat/>
    <w:rPr>
      <w:rFonts w:ascii="Arial" w:hAnsi="Arial"/>
      <w:sz w:val="15"/>
    </w:rPr>
  </w:style>
  <w:style w:type="character" w:styleId="ListLabel155">
    <w:name w:val="ListLabel 155"/>
    <w:qFormat/>
    <w:rPr>
      <w:sz w:val="20"/>
    </w:rPr>
  </w:style>
  <w:style w:type="character" w:styleId="ListLabel156">
    <w:name w:val="ListLabel 156"/>
    <w:qFormat/>
    <w:rPr>
      <w:sz w:val="20"/>
    </w:rPr>
  </w:style>
  <w:style w:type="character" w:styleId="ListLabel157">
    <w:name w:val="ListLabel 157"/>
    <w:qFormat/>
    <w:rPr>
      <w:sz w:val="20"/>
    </w:rPr>
  </w:style>
  <w:style w:type="character" w:styleId="ListLabel158">
    <w:name w:val="ListLabel 158"/>
    <w:qFormat/>
    <w:rPr>
      <w:sz w:val="20"/>
    </w:rPr>
  </w:style>
  <w:style w:type="character" w:styleId="ListLabel159">
    <w:name w:val="ListLabel 159"/>
    <w:qFormat/>
    <w:rPr>
      <w:sz w:val="20"/>
    </w:rPr>
  </w:style>
  <w:style w:type="character" w:styleId="ListLabel160">
    <w:name w:val="ListLabel 160"/>
    <w:qFormat/>
    <w:rPr>
      <w:sz w:val="20"/>
    </w:rPr>
  </w:style>
  <w:style w:type="character" w:styleId="ListLabel161">
    <w:name w:val="ListLabel 161"/>
    <w:qFormat/>
    <w:rPr>
      <w:sz w:val="20"/>
    </w:rPr>
  </w:style>
  <w:style w:type="character" w:styleId="ListLabel162">
    <w:name w:val="ListLabel 162"/>
    <w:qFormat/>
    <w:rPr>
      <w:sz w:val="20"/>
    </w:rPr>
  </w:style>
  <w:style w:type="character" w:styleId="ListLabel163">
    <w:name w:val="ListLabel 163"/>
    <w:qFormat/>
    <w:rPr>
      <w:rFonts w:ascii="Arial" w:hAnsi="Arial"/>
      <w:sz w:val="15"/>
    </w:rPr>
  </w:style>
  <w:style w:type="character" w:styleId="ListLabel164">
    <w:name w:val="ListLabel 164"/>
    <w:qFormat/>
    <w:rPr>
      <w:sz w:val="20"/>
    </w:rPr>
  </w:style>
  <w:style w:type="character" w:styleId="ListLabel165">
    <w:name w:val="ListLabel 165"/>
    <w:qFormat/>
    <w:rPr>
      <w:sz w:val="20"/>
    </w:rPr>
  </w:style>
  <w:style w:type="character" w:styleId="ListLabel166">
    <w:name w:val="ListLabel 166"/>
    <w:qFormat/>
    <w:rPr>
      <w:sz w:val="20"/>
    </w:rPr>
  </w:style>
  <w:style w:type="character" w:styleId="ListLabel167">
    <w:name w:val="ListLabel 167"/>
    <w:qFormat/>
    <w:rPr>
      <w:sz w:val="20"/>
    </w:rPr>
  </w:style>
  <w:style w:type="character" w:styleId="ListLabel168">
    <w:name w:val="ListLabel 168"/>
    <w:qFormat/>
    <w:rPr>
      <w:sz w:val="20"/>
    </w:rPr>
  </w:style>
  <w:style w:type="character" w:styleId="ListLabel169">
    <w:name w:val="ListLabel 169"/>
    <w:qFormat/>
    <w:rPr>
      <w:sz w:val="20"/>
    </w:rPr>
  </w:style>
  <w:style w:type="character" w:styleId="ListLabel170">
    <w:name w:val="ListLabel 170"/>
    <w:qFormat/>
    <w:rPr>
      <w:sz w:val="20"/>
    </w:rPr>
  </w:style>
  <w:style w:type="character" w:styleId="ListLabel171">
    <w:name w:val="ListLabel 171"/>
    <w:qFormat/>
    <w:rPr>
      <w:sz w:val="20"/>
    </w:rPr>
  </w:style>
  <w:style w:type="character" w:styleId="ListLabel172">
    <w:name w:val="ListLabel 172"/>
    <w:qFormat/>
    <w:rPr>
      <w:rFonts w:ascii="Arial" w:hAnsi="Arial"/>
      <w:sz w:val="19"/>
    </w:rPr>
  </w:style>
  <w:style w:type="character" w:styleId="ListLabel173">
    <w:name w:val="ListLabel 173"/>
    <w:qFormat/>
    <w:rPr>
      <w:sz w:val="20"/>
    </w:rPr>
  </w:style>
  <w:style w:type="character" w:styleId="ListLabel174">
    <w:name w:val="ListLabel 174"/>
    <w:qFormat/>
    <w:rPr>
      <w:sz w:val="20"/>
    </w:rPr>
  </w:style>
  <w:style w:type="character" w:styleId="ListLabel175">
    <w:name w:val="ListLabel 175"/>
    <w:qFormat/>
    <w:rPr>
      <w:sz w:val="20"/>
    </w:rPr>
  </w:style>
  <w:style w:type="character" w:styleId="ListLabel176">
    <w:name w:val="ListLabel 176"/>
    <w:qFormat/>
    <w:rPr>
      <w:sz w:val="20"/>
    </w:rPr>
  </w:style>
  <w:style w:type="character" w:styleId="ListLabel177">
    <w:name w:val="ListLabel 177"/>
    <w:qFormat/>
    <w:rPr>
      <w:sz w:val="20"/>
    </w:rPr>
  </w:style>
  <w:style w:type="character" w:styleId="ListLabel178">
    <w:name w:val="ListLabel 178"/>
    <w:qFormat/>
    <w:rPr>
      <w:sz w:val="20"/>
    </w:rPr>
  </w:style>
  <w:style w:type="character" w:styleId="ListLabel179">
    <w:name w:val="ListLabel 179"/>
    <w:qFormat/>
    <w:rPr>
      <w:sz w:val="20"/>
    </w:rPr>
  </w:style>
  <w:style w:type="character" w:styleId="ListLabel180">
    <w:name w:val="ListLabel 180"/>
    <w:qFormat/>
    <w:rPr>
      <w:sz w:val="20"/>
    </w:rPr>
  </w:style>
  <w:style w:type="character" w:styleId="Style15">
    <w:name w:val="Виділення жирним"/>
    <w:qFormat/>
    <w:rPr>
      <w:b/>
      <w:bCs/>
    </w:rPr>
  </w:style>
  <w:style w:type="character" w:styleId="Style16">
    <w:name w:val="Маркери списку"/>
    <w:qFormat/>
    <w:rPr>
      <w:rFonts w:ascii="OpenSymbol" w:hAnsi="OpenSymbol" w:eastAsia="OpenSymbol" w:cs="OpenSymbol"/>
    </w:rPr>
  </w:style>
  <w:style w:type="character" w:styleId="Style17">
    <w:name w:val="Виділення"/>
    <w:qFormat/>
    <w:rPr>
      <w:i/>
      <w:iCs/>
    </w:rPr>
  </w:style>
  <w:style w:type="character" w:styleId="ListLabel181">
    <w:name w:val="ListLabel 181"/>
    <w:qFormat/>
    <w:rPr>
      <w:rFonts w:ascii="Arial;Helvetica;sans-serif" w:hAnsi="Arial;Helvetica;sans-serif" w:cs="OpenSymbol"/>
      <w:b w:val="false"/>
      <w:sz w:val="14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ascii="Arial;Helvetica;sans-serif" w:hAnsi="Arial;Helvetica;sans-serif" w:cs="OpenSymbol"/>
      <w:b w:val="false"/>
      <w:sz w:val="14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ascii="Arial;Helvetica;sans-serif" w:hAnsi="Arial;Helvetica;sans-serif" w:cs="OpenSymbol"/>
      <w:b w:val="false"/>
      <w:sz w:val="14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ascii="Arial;Helvetica;sans-serif" w:hAnsi="Arial;Helvetica;sans-serif" w:cs="OpenSymbol"/>
      <w:b w:val="false"/>
      <w:sz w:val="14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ascii="Arial" w:hAnsi="Arial" w:cs="OpenSymbol"/>
      <w:b w:val="false"/>
      <w:sz w:val="16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ascii="Arial" w:hAnsi="Arial" w:cs="OpenSymbol"/>
      <w:b w:val="false"/>
      <w:sz w:val="16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ascii="Arial" w:hAnsi="Arial" w:cs="OpenSymbol"/>
      <w:b w:val="false"/>
      <w:sz w:val="16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ascii="Arial" w:hAnsi="Arial" w:cs="OpenSymbol"/>
      <w:b w:val="false"/>
      <w:sz w:val="16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ascii="Arial" w:hAnsi="Arial" w:cs="OpenSymbol"/>
      <w:b w:val="false"/>
      <w:sz w:val="16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ascii="Arial" w:hAnsi="Arial" w:cs="OpenSymbol"/>
      <w:b w:val="false"/>
      <w:sz w:val="16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ascii="Arial" w:hAnsi="Arial" w:cs="OpenSymbol"/>
      <w:b w:val="false"/>
      <w:sz w:val="16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ascii="Arial" w:hAnsi="Arial" w:cs="OpenSymbol"/>
      <w:b w:val="false"/>
      <w:sz w:val="16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ascii="Arial" w:hAnsi="Arial" w:cs="OpenSymbol"/>
      <w:b w:val="false"/>
      <w:sz w:val="16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OpenSymbol"/>
    </w:rPr>
  </w:style>
  <w:style w:type="character" w:styleId="ListLabel298">
    <w:name w:val="ListLabel 298"/>
    <w:qFormat/>
    <w:rPr>
      <w:rFonts w:ascii="Arial" w:hAnsi="Arial" w:cs="OpenSymbol"/>
      <w:b w:val="false"/>
      <w:sz w:val="16"/>
    </w:rPr>
  </w:style>
  <w:style w:type="character" w:styleId="ListLabel299">
    <w:name w:val="ListLabel 299"/>
    <w:qFormat/>
    <w:rPr>
      <w:rFonts w:cs="OpenSymbol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cs="OpenSymbol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OpenSymbol"/>
    </w:rPr>
  </w:style>
  <w:style w:type="character" w:styleId="ListLabel307">
    <w:name w:val="ListLabel 307"/>
    <w:qFormat/>
    <w:rPr>
      <w:rFonts w:ascii="Arial" w:hAnsi="Arial" w:cs="OpenSymbol"/>
      <w:b w:val="false"/>
      <w:sz w:val="16"/>
    </w:rPr>
  </w:style>
  <w:style w:type="character" w:styleId="ListLabel308">
    <w:name w:val="ListLabel 308"/>
    <w:qFormat/>
    <w:rPr>
      <w:rFonts w:cs="OpenSymbol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Open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ascii="Arial" w:hAnsi="Arial" w:cs="OpenSymbol"/>
      <w:b w:val="false"/>
      <w:sz w:val="16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rFonts w:ascii="Arial" w:hAnsi="Arial" w:cs="OpenSymbol"/>
      <w:b w:val="false"/>
      <w:sz w:val="16"/>
    </w:rPr>
  </w:style>
  <w:style w:type="character" w:styleId="ListLabel326">
    <w:name w:val="ListLabel 326"/>
    <w:qFormat/>
    <w:rPr>
      <w:rFonts w:cs="OpenSymbol"/>
    </w:rPr>
  </w:style>
  <w:style w:type="character" w:styleId="ListLabel327">
    <w:name w:val="ListLabel 327"/>
    <w:qFormat/>
    <w:rPr>
      <w:rFonts w:cs="OpenSymbol"/>
    </w:rPr>
  </w:style>
  <w:style w:type="character" w:styleId="ListLabel328">
    <w:name w:val="ListLabel 328"/>
    <w:qFormat/>
    <w:rPr>
      <w:rFonts w:cs="OpenSymbol"/>
    </w:rPr>
  </w:style>
  <w:style w:type="character" w:styleId="ListLabel329">
    <w:name w:val="ListLabel 329"/>
    <w:qFormat/>
    <w:rPr>
      <w:rFonts w:cs="OpenSymbol"/>
    </w:rPr>
  </w:style>
  <w:style w:type="character" w:styleId="ListLabel330">
    <w:name w:val="ListLabel 330"/>
    <w:qFormat/>
    <w:rPr>
      <w:rFonts w:cs="OpenSymbol"/>
    </w:rPr>
  </w:style>
  <w:style w:type="character" w:styleId="ListLabel331">
    <w:name w:val="ListLabel 331"/>
    <w:qFormat/>
    <w:rPr>
      <w:rFonts w:cs="OpenSymbol"/>
    </w:rPr>
  </w:style>
  <w:style w:type="character" w:styleId="ListLabel332">
    <w:name w:val="ListLabel 332"/>
    <w:qFormat/>
    <w:rPr>
      <w:rFonts w:cs="OpenSymbol"/>
    </w:rPr>
  </w:style>
  <w:style w:type="character" w:styleId="ListLabel333">
    <w:name w:val="ListLabel 333"/>
    <w:qFormat/>
    <w:rPr>
      <w:rFonts w:cs="OpenSymbol"/>
    </w:rPr>
  </w:style>
  <w:style w:type="character" w:styleId="ListLabel334">
    <w:name w:val="ListLabel 334"/>
    <w:qFormat/>
    <w:rPr>
      <w:rFonts w:ascii="Arial" w:hAnsi="Arial" w:cs="OpenSymbol"/>
      <w:b w:val="false"/>
      <w:sz w:val="16"/>
    </w:rPr>
  </w:style>
  <w:style w:type="character" w:styleId="ListLabel335">
    <w:name w:val="ListLabel 335"/>
    <w:qFormat/>
    <w:rPr>
      <w:rFonts w:cs="OpenSymbol"/>
    </w:rPr>
  </w:style>
  <w:style w:type="character" w:styleId="ListLabel336">
    <w:name w:val="ListLabel 336"/>
    <w:qFormat/>
    <w:rPr>
      <w:rFonts w:cs="OpenSymbol"/>
    </w:rPr>
  </w:style>
  <w:style w:type="character" w:styleId="ListLabel337">
    <w:name w:val="ListLabel 337"/>
    <w:qFormat/>
    <w:rPr>
      <w:rFonts w:cs="OpenSymbol"/>
    </w:rPr>
  </w:style>
  <w:style w:type="character" w:styleId="ListLabel338">
    <w:name w:val="ListLabel 338"/>
    <w:qFormat/>
    <w:rPr>
      <w:rFonts w:cs="OpenSymbol"/>
    </w:rPr>
  </w:style>
  <w:style w:type="character" w:styleId="ListLabel339">
    <w:name w:val="ListLabel 339"/>
    <w:qFormat/>
    <w:rPr>
      <w:rFonts w:cs="OpenSymbol"/>
    </w:rPr>
  </w:style>
  <w:style w:type="character" w:styleId="ListLabel340">
    <w:name w:val="ListLabel 340"/>
    <w:qFormat/>
    <w:rPr>
      <w:rFonts w:cs="OpenSymbol"/>
    </w:rPr>
  </w:style>
  <w:style w:type="character" w:styleId="ListLabel341">
    <w:name w:val="ListLabel 341"/>
    <w:qFormat/>
    <w:rPr>
      <w:rFonts w:cs="OpenSymbol"/>
    </w:rPr>
  </w:style>
  <w:style w:type="character" w:styleId="ListLabel342">
    <w:name w:val="ListLabel 342"/>
    <w:qFormat/>
    <w:rPr>
      <w:rFonts w:cs="OpenSymbol"/>
    </w:rPr>
  </w:style>
  <w:style w:type="character" w:styleId="ListLabel343">
    <w:name w:val="ListLabel 343"/>
    <w:qFormat/>
    <w:rPr>
      <w:rFonts w:ascii="Arial" w:hAnsi="Arial" w:cs="OpenSymbol"/>
      <w:b w:val="false"/>
      <w:sz w:val="16"/>
    </w:rPr>
  </w:style>
  <w:style w:type="character" w:styleId="ListLabel344">
    <w:name w:val="ListLabel 344"/>
    <w:qFormat/>
    <w:rPr>
      <w:rFonts w:cs="OpenSymbol"/>
    </w:rPr>
  </w:style>
  <w:style w:type="character" w:styleId="ListLabel345">
    <w:name w:val="ListLabel 345"/>
    <w:qFormat/>
    <w:rPr>
      <w:rFonts w:cs="OpenSymbol"/>
    </w:rPr>
  </w:style>
  <w:style w:type="character" w:styleId="ListLabel346">
    <w:name w:val="ListLabel 346"/>
    <w:qFormat/>
    <w:rPr>
      <w:rFonts w:cs="OpenSymbol"/>
    </w:rPr>
  </w:style>
  <w:style w:type="character" w:styleId="ListLabel347">
    <w:name w:val="ListLabel 347"/>
    <w:qFormat/>
    <w:rPr>
      <w:rFonts w:cs="OpenSymbol"/>
    </w:rPr>
  </w:style>
  <w:style w:type="character" w:styleId="ListLabel348">
    <w:name w:val="ListLabel 348"/>
    <w:qFormat/>
    <w:rPr>
      <w:rFonts w:cs="OpenSymbol"/>
    </w:rPr>
  </w:style>
  <w:style w:type="character" w:styleId="ListLabel349">
    <w:name w:val="ListLabel 349"/>
    <w:qFormat/>
    <w:rPr>
      <w:rFonts w:cs="OpenSymbol"/>
    </w:rPr>
  </w:style>
  <w:style w:type="character" w:styleId="ListLabel350">
    <w:name w:val="ListLabel 350"/>
    <w:qFormat/>
    <w:rPr>
      <w:rFonts w:cs="OpenSymbol"/>
    </w:rPr>
  </w:style>
  <w:style w:type="character" w:styleId="ListLabel351">
    <w:name w:val="ListLabel 351"/>
    <w:qFormat/>
    <w:rPr>
      <w:rFonts w:cs="OpenSymbol"/>
    </w:rPr>
  </w:style>
  <w:style w:type="character" w:styleId="ListLabel352">
    <w:name w:val="ListLabel 352"/>
    <w:qFormat/>
    <w:rPr>
      <w:rFonts w:ascii="Arial" w:hAnsi="Arial" w:cs="OpenSymbol"/>
      <w:b w:val="false"/>
      <w:sz w:val="16"/>
    </w:rPr>
  </w:style>
  <w:style w:type="character" w:styleId="ListLabel353">
    <w:name w:val="ListLabel 353"/>
    <w:qFormat/>
    <w:rPr>
      <w:rFonts w:cs="OpenSymbol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cs="OpenSymbol"/>
    </w:rPr>
  </w:style>
  <w:style w:type="character" w:styleId="ListLabel357">
    <w:name w:val="ListLabel 357"/>
    <w:qFormat/>
    <w:rPr>
      <w:rFonts w:cs="OpenSymbol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ascii="Arial" w:hAnsi="Arial" w:cs="OpenSymbol"/>
      <w:b w:val="false"/>
      <w:sz w:val="16"/>
    </w:rPr>
  </w:style>
  <w:style w:type="character" w:styleId="ListLabel362">
    <w:name w:val="ListLabel 362"/>
    <w:qFormat/>
    <w:rPr>
      <w:rFonts w:cs="OpenSymbol"/>
    </w:rPr>
  </w:style>
  <w:style w:type="character" w:styleId="ListLabel363">
    <w:name w:val="ListLabel 363"/>
    <w:qFormat/>
    <w:rPr>
      <w:rFonts w:cs="OpenSymbol"/>
    </w:rPr>
  </w:style>
  <w:style w:type="character" w:styleId="ListLabel364">
    <w:name w:val="ListLabel 364"/>
    <w:qFormat/>
    <w:rPr>
      <w:rFonts w:cs="OpenSymbol"/>
    </w:rPr>
  </w:style>
  <w:style w:type="character" w:styleId="ListLabel365">
    <w:name w:val="ListLabel 365"/>
    <w:qFormat/>
    <w:rPr>
      <w:rFonts w:cs="OpenSymbol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cs="OpenSymbol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ascii="Arial" w:hAnsi="Arial" w:cs="OpenSymbol"/>
      <w:b w:val="false"/>
      <w:sz w:val="16"/>
    </w:rPr>
  </w:style>
  <w:style w:type="character" w:styleId="ListLabel371">
    <w:name w:val="ListLabel 371"/>
    <w:qFormat/>
    <w:rPr>
      <w:rFonts w:cs="OpenSymbol"/>
    </w:rPr>
  </w:style>
  <w:style w:type="character" w:styleId="ListLabel372">
    <w:name w:val="ListLabel 372"/>
    <w:qFormat/>
    <w:rPr>
      <w:rFonts w:cs="OpenSymbol"/>
    </w:rPr>
  </w:style>
  <w:style w:type="character" w:styleId="ListLabel373">
    <w:name w:val="ListLabel 373"/>
    <w:qFormat/>
    <w:rPr>
      <w:rFonts w:cs="OpenSymbol"/>
    </w:rPr>
  </w:style>
  <w:style w:type="character" w:styleId="ListLabel374">
    <w:name w:val="ListLabel 374"/>
    <w:qFormat/>
    <w:rPr>
      <w:rFonts w:cs="OpenSymbol"/>
    </w:rPr>
  </w:style>
  <w:style w:type="character" w:styleId="ListLabel375">
    <w:name w:val="ListLabel 375"/>
    <w:qFormat/>
    <w:rPr>
      <w:rFonts w:cs="OpenSymbol"/>
    </w:rPr>
  </w:style>
  <w:style w:type="character" w:styleId="ListLabel376">
    <w:name w:val="ListLabel 376"/>
    <w:qFormat/>
    <w:rPr>
      <w:rFonts w:cs="OpenSymbol"/>
    </w:rPr>
  </w:style>
  <w:style w:type="character" w:styleId="ListLabel377">
    <w:name w:val="ListLabel 377"/>
    <w:qFormat/>
    <w:rPr>
      <w:rFonts w:cs="OpenSymbol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ascii="Arial" w:hAnsi="Arial" w:cs="OpenSymbol"/>
      <w:b w:val="false"/>
      <w:sz w:val="16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cs="OpenSymbol"/>
    </w:rPr>
  </w:style>
  <w:style w:type="character" w:styleId="ListLabel385">
    <w:name w:val="ListLabel 385"/>
    <w:qFormat/>
    <w:rPr>
      <w:rFonts w:cs="OpenSymbol"/>
    </w:rPr>
  </w:style>
  <w:style w:type="character" w:styleId="ListLabel386">
    <w:name w:val="ListLabel 386"/>
    <w:qFormat/>
    <w:rPr>
      <w:rFonts w:cs="OpenSymbol"/>
    </w:rPr>
  </w:style>
  <w:style w:type="character" w:styleId="ListLabel387">
    <w:name w:val="ListLabel 387"/>
    <w:qFormat/>
    <w:rPr>
      <w:rFonts w:cs="OpenSymbol"/>
    </w:rPr>
  </w:style>
  <w:style w:type="character" w:styleId="ListLabel388">
    <w:name w:val="ListLabel 388"/>
    <w:qFormat/>
    <w:rPr>
      <w:rFonts w:ascii="Arial" w:hAnsi="Arial" w:cs="OpenSymbol"/>
      <w:b w:val="false"/>
      <w:sz w:val="16"/>
    </w:rPr>
  </w:style>
  <w:style w:type="character" w:styleId="ListLabel389">
    <w:name w:val="ListLabel 389"/>
    <w:qFormat/>
    <w:rPr>
      <w:rFonts w:cs="OpenSymbol"/>
    </w:rPr>
  </w:style>
  <w:style w:type="character" w:styleId="ListLabel390">
    <w:name w:val="ListLabel 390"/>
    <w:qFormat/>
    <w:rPr>
      <w:rFonts w:cs="OpenSymbol"/>
    </w:rPr>
  </w:style>
  <w:style w:type="character" w:styleId="ListLabel391">
    <w:name w:val="ListLabel 391"/>
    <w:qFormat/>
    <w:rPr>
      <w:rFonts w:cs="OpenSymbol"/>
    </w:rPr>
  </w:style>
  <w:style w:type="character" w:styleId="ListLabel392">
    <w:name w:val="ListLabel 392"/>
    <w:qFormat/>
    <w:rPr>
      <w:rFonts w:cs="OpenSymbol"/>
    </w:rPr>
  </w:style>
  <w:style w:type="character" w:styleId="ListLabel393">
    <w:name w:val="ListLabel 393"/>
    <w:qFormat/>
    <w:rPr>
      <w:rFonts w:cs="OpenSymbol"/>
    </w:rPr>
  </w:style>
  <w:style w:type="character" w:styleId="ListLabel394">
    <w:name w:val="ListLabel 394"/>
    <w:qFormat/>
    <w:rPr>
      <w:rFonts w:cs="OpenSymbol"/>
    </w:rPr>
  </w:style>
  <w:style w:type="character" w:styleId="ListLabel395">
    <w:name w:val="ListLabel 395"/>
    <w:qFormat/>
    <w:rPr>
      <w:rFonts w:cs="OpenSymbol"/>
    </w:rPr>
  </w:style>
  <w:style w:type="character" w:styleId="ListLabel396">
    <w:name w:val="ListLabel 396"/>
    <w:qFormat/>
    <w:rPr>
      <w:rFonts w:cs="OpenSymbol"/>
    </w:rPr>
  </w:style>
  <w:style w:type="character" w:styleId="ListLabel397">
    <w:name w:val="ListLabel 397"/>
    <w:qFormat/>
    <w:rPr>
      <w:rFonts w:ascii="Arial" w:hAnsi="Arial" w:cs="OpenSymbol"/>
      <w:b w:val="false"/>
      <w:sz w:val="16"/>
    </w:rPr>
  </w:style>
  <w:style w:type="character" w:styleId="ListLabel398">
    <w:name w:val="ListLabel 398"/>
    <w:qFormat/>
    <w:rPr>
      <w:rFonts w:cs="OpenSymbol"/>
    </w:rPr>
  </w:style>
  <w:style w:type="character" w:styleId="ListLabel399">
    <w:name w:val="ListLabel 399"/>
    <w:qFormat/>
    <w:rPr>
      <w:rFonts w:cs="OpenSymbol"/>
    </w:rPr>
  </w:style>
  <w:style w:type="character" w:styleId="ListLabel400">
    <w:name w:val="ListLabel 400"/>
    <w:qFormat/>
    <w:rPr>
      <w:rFonts w:cs="OpenSymbol"/>
    </w:rPr>
  </w:style>
  <w:style w:type="character" w:styleId="ListLabel401">
    <w:name w:val="ListLabel 401"/>
    <w:qFormat/>
    <w:rPr>
      <w:rFonts w:cs="OpenSymbol"/>
    </w:rPr>
  </w:style>
  <w:style w:type="character" w:styleId="ListLabel402">
    <w:name w:val="ListLabel 402"/>
    <w:qFormat/>
    <w:rPr>
      <w:rFonts w:cs="OpenSymbol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cs="OpenSymbol"/>
    </w:rPr>
  </w:style>
  <w:style w:type="character" w:styleId="ListLabel405">
    <w:name w:val="ListLabel 405"/>
    <w:qFormat/>
    <w:rPr>
      <w:rFonts w:cs="OpenSymbol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Arial"/>
    </w:rPr>
  </w:style>
  <w:style w:type="paragraph" w:styleId="Style23">
    <w:name w:val="Header"/>
    <w:basedOn w:val="Normal"/>
    <w:link w:val="a4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Style24">
    <w:name w:val="Footer"/>
    <w:basedOn w:val="Normal"/>
    <w:link w:val="a6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b28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9769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LibreOffice/5.4.0.3$Windows_X86_64 LibreOffice_project/7556cbc6811c9d992f4064ab9287069087d7f62c</Application>
  <Pages>2</Pages>
  <Words>720</Words>
  <Characters>4657</Characters>
  <CharactersWithSpaces>5307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2018-01-14T10:33:00Z</dcterms:created>
  <dc:creator>Ковальская Светлана Дмитриевна</dc:creator>
  <dc:description/>
  <dc:language>uk-UA</dc:language>
  <cp:lastModifiedBy/>
  <cp:lastPrinted>2017-09-26T13:35:00Z</cp:lastPrinted>
  <dcterms:modified xsi:type="dcterms:W3CDTF">2018-08-23T11:08:28Z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